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2024 37 vom 3. September 2024</w:t>
      </w:r>
    </w:p>
    <w:p>
      <w:r>
        <w:t>BL Gerichte, 2024-09-03, DE</w:t>
      </w:r>
    </w:p>
    <w:p>
      <w:r>
        <w:rPr>
          <w:b/>
        </w:rPr>
        <w:t xml:space="preserve">Quelle: </w:t>
      </w:r>
      <w:r>
        <w:t>https://mcp.opencaselaw.ch/entscheid/bl_gerichte_400 2024 37</w:t>
      </w:r>
    </w:p>
    <w:p>
      <w:r>
        <w:t>FR: BL_GERICHTE 400 2024 37 du 3 septembre 2024</w:t>
      </w:r>
    </w:p>
    <w:p>
      <w:r>
        <w:t>IT: BL_GERICHTE 400 2024 37 del 3 settembre 2024</w:t>
      </w:r>
    </w:p>
    <w:p>
      <w:pPr>
        <w:pStyle w:val="Heading2"/>
      </w:pPr>
      <w:r>
        <w:t>Regeste</w:t>
      </w:r>
    </w:p>
    <w:p>
      <w:r>
        <w:t>Gerichtliche Anordnung der Art der Teilung von Miteigentumsanteilen an einem Grundstück gemäss Art. 651 Abs. 2 ZGB; kein Vorrang der körperlichen Teilung der Sache gegenüber einer privaten oder öffentlichen Versteigerung; Gesamtabwägung aller bekannten wesentlichen Interessen der Miteigentümer (E. 5.3.1 ff.). Die Anordnung einer öffentlichen Versteigerung mit einem Mindestzuschlagspreis durch das Gericht schliesst einen Zweitaufruf ohne Mindestzuschlagspreis durch die Zivilrechtsverwaltung nicht aus (E. 6.3.1). Die beantragte Realteilung der Parzellen ist unter zerstrittenen Parteien nicht vernünftig durchführbar, wenn die notwendige Regelung der Nebenfolgen dieser Realteilung nicht hinreichend konkretisiert wird (E. 5.3.2; 7.4).</w:t>
      </w:r>
    </w:p>
    <w:p>
      <w:pPr>
        <w:pStyle w:val="Heading2"/>
      </w:pPr>
      <w:r>
        <w:t>Erwägungen</w:t>
      </w:r>
    </w:p>
    <w:p>
      <w:r>
        <w:rPr>
          <w:b/>
        </w:rPr>
        <w:t>E. 8</w:t>
      </w:r>
    </w:p>
    <w:p>
      <w:r>
        <w:t>Aus den vorstehenden Erwägungen 5.1 bis 7.4 folgt im Sinne eines Gesamtergebnisses der Berufung, dass sämtliche Rügen der Beklagten unbegründet sind und die Berufung vollumfänglich abzuweisen ist. Nachfolgend ist über die Anschlussberufung der Klägerin zu befinden (zu den Rechtsbegehren siehe die Ausführungen zum Sachverhalt, Bst. G hiervor). 9.1 Die Anschlussberufung der Klägerin wurde in Nachachtung von Art. 313 Abs. 1 ZPO rechtzeitig mit der Berufungsantwort vom 11. April 2024 erhoben. Der eingeforderte Kostenvorschuss für das Anschlussberufungsverfahren von CHF 10'000.00 wurde fristgerecht geleistet. Wie bei der Berufung können auch mit der Anschlussberufung einzig die unrichtige Rechtsanwendung sowie eine falsche Sachverhaltsfeststellung durch die Vorinstanz geltend gemacht werden (Art. 310 ZPO). 9.2 In der Anschlussberufung beantragt die Klägerin eine Anpassung der im vorinstanzlichen Entscheid festgelegten Steigerungsbedingungen sowie eine Änderung des Kostenentscheids. Die Anpassung der Steigerungsbedingungen begründet sie dahingehend, dass die diesbezügliche Anordnung der Vorinstanz ein mutmassliches Defizit enthalte, welches durch das Rechtsbegehren 2 der Anschlussberufung (vgl. Bst. G hiervor) einfach behoben werden könne. Die Steigerungs- und Erlösverteilanweisungen seien im Interesse grösster Deutlichkeit so zu formulieren, dass die zwei in casu möglichen Ausgänge der öffentlichen Versteigerungen abgedeckt würden. Die beiden teilungswilligen Parteien hätten sich billigerweise – in Analogie zu Art. 649 ZGB – die Kosten zu teilen, soweit diese nicht auf den/die Erwerber der Parteien übertragen werden könnten oder diese von Anfang an individuell zu tragen seien. In Dispositiv Ziffer 1 Absatz 1 des angefochtenen Entscheids verweise die Vorinstanz auf die üblichen Steigerungsbedingungen. Solche üblichen Steigerungsbedingungen würden gestützt auf § 5 ff. EG OR BL von der zuständigen Zivilrechtsverwaltung erlassen, soweit sie nicht vom Gericht vorgegeben seien. Solche Bedingungen seien bewährt und der Verweis hierauf mache absolut Sinn. Mit Blick auf die grosse Distanz zwischen den Parteien und ihre besondere Situation gäbe es indessen gewisse Punkte, die wünschenswerterweise etwas anders, respektive deutlicher als vielleicht üblicherweise angezeigt, formuliert werden könnten. 9.3 Wie die Beklagten zu Recht vortragen, rügt die Klägerin damit weder eine unrichtige Rechtsanwendung noch eine unrichtige Feststellung des Sachverhalts gemäss Art. 310 ZPO. Namentlich fehlt es in der Anschlussberufung an einer konkreten Darlegung, aus welchen Gründen eine unrichtige Rechtsanwendung oder Sachverhaltsfeststellung durch die Vorinstanz vorliegen würde. Indem die Berufungsbeklagte vorbringt, es wäre vorliegend eine andere bzw. deutlichere Formulierung von Steigerungsbedingungen angezeigt als vielleicht üblicherweise, macht sie damit noch keinen Ermessensmissbrauch oder eine qualifizierte Unangemessenheit im Sinne einer Rechtsverletzung durch die Vorinstanz geltend (dazu BSK ZPO- Spühler , 3. Aufl., 2017, Art. 310 N 3). Demnach fehlt es der Anschlussberufung an einer hinreichenden Begründung eines Rechtsfehlers gemäss Art. 310 ZPO, weshalb auf die Anschlussberufung mit Bezug auf die von der Klägerin gewünschte bzw. beantragte deutlichere Formulierung der Steigerungsbedingungen nicht einzutreten ist. (…) Dieser Entscheid ist vor Bundesgericht angefochten worden (BGer 5A_112/2025).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